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r>
        <w:rPr>
          <w:rFonts w:hint="eastAsia" w:ascii="宋体" w:hAnsi="宋体" w:eastAsia="宋体" w:cs="宋体"/>
          <w:sz w:val="32"/>
          <w:szCs w:val="32"/>
        </w:rPr>
        <w:t>理学院</w:t>
      </w:r>
      <w:r>
        <w:rPr>
          <w:rFonts w:hint="eastAsia" w:ascii="宋体" w:hAnsi="宋体" w:eastAsia="宋体" w:cs="宋体"/>
          <w:sz w:val="32"/>
          <w:szCs w:val="32"/>
        </w:rPr>
        <w:t>本科基础课程教学</w:t>
      </w:r>
      <w:r>
        <w:rPr>
          <w:rFonts w:hint="eastAsia" w:ascii="宋体" w:hAnsi="宋体" w:eastAsia="宋体" w:cs="宋体"/>
          <w:sz w:val="32"/>
          <w:szCs w:val="32"/>
        </w:rPr>
        <w:t>团队信息采集表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41"/>
        <w:gridCol w:w="1687"/>
        <w:gridCol w:w="98"/>
        <w:gridCol w:w="2552"/>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gridSpan w:val="2"/>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团队名称</w:t>
            </w:r>
          </w:p>
        </w:tc>
        <w:tc>
          <w:tcPr>
            <w:tcW w:w="1687"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无机及分析化学</w:t>
            </w:r>
          </w:p>
        </w:tc>
        <w:tc>
          <w:tcPr>
            <w:tcW w:w="2650" w:type="dxa"/>
            <w:gridSpan w:val="2"/>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负责人</w:t>
            </w:r>
          </w:p>
        </w:tc>
        <w:tc>
          <w:tcPr>
            <w:tcW w:w="2460" w:type="dxa"/>
            <w:shd w:val="clear" w:color="auto" w:fill="auto"/>
          </w:tcPr>
          <w:p>
            <w:pPr>
              <w:spacing w:line="480" w:lineRule="auto"/>
              <w:rPr>
                <w:rFonts w:hint="eastAsia" w:ascii="宋体" w:hAnsi="宋体" w:eastAsia="宋体" w:cs="宋体"/>
                <w:sz w:val="24"/>
                <w:szCs w:val="24"/>
              </w:rPr>
            </w:pPr>
            <w:r>
              <w:rPr>
                <w:rFonts w:hint="eastAsia" w:ascii="宋体" w:hAnsi="宋体" w:eastAsia="宋体" w:cs="宋体"/>
                <w:sz w:val="24"/>
                <w:szCs w:val="24"/>
              </w:rPr>
              <w:t>代先祥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gridSpan w:val="2"/>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职称</w:t>
            </w:r>
          </w:p>
        </w:tc>
        <w:tc>
          <w:tcPr>
            <w:tcW w:w="1687"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副教授</w:t>
            </w:r>
          </w:p>
        </w:tc>
        <w:tc>
          <w:tcPr>
            <w:tcW w:w="2650" w:type="dxa"/>
            <w:gridSpan w:val="2"/>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职务</w:t>
            </w:r>
          </w:p>
        </w:tc>
        <w:tc>
          <w:tcPr>
            <w:tcW w:w="2460" w:type="dxa"/>
            <w:shd w:val="clear" w:color="auto" w:fill="auto"/>
          </w:tcPr>
          <w:p>
            <w:pPr>
              <w:spacing w:line="480" w:lineRule="auto"/>
              <w:rPr>
                <w:rFonts w:hint="eastAsia" w:ascii="宋体" w:hAnsi="宋体" w:eastAsia="宋体" w:cs="宋体"/>
                <w:sz w:val="24"/>
                <w:szCs w:val="24"/>
              </w:rPr>
            </w:pPr>
            <w:r>
              <w:rPr>
                <w:rFonts w:hint="eastAsia" w:ascii="宋体" w:hAnsi="宋体" w:eastAsia="宋体" w:cs="宋体"/>
                <w:sz w:val="24"/>
                <w:szCs w:val="24"/>
              </w:rPr>
              <w:t>副系主任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gridSpan w:val="2"/>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所在系室</w:t>
            </w:r>
          </w:p>
        </w:tc>
        <w:tc>
          <w:tcPr>
            <w:tcW w:w="1687"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化学生物学</w:t>
            </w:r>
          </w:p>
        </w:tc>
        <w:tc>
          <w:tcPr>
            <w:tcW w:w="2650" w:type="dxa"/>
            <w:gridSpan w:val="2"/>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2460" w:type="dxa"/>
            <w:shd w:val="clear" w:color="auto" w:fill="auto"/>
          </w:tcPr>
          <w:p>
            <w:pPr>
              <w:spacing w:line="480" w:lineRule="auto"/>
              <w:rPr>
                <w:rFonts w:hint="eastAsia" w:ascii="宋体" w:hAnsi="宋体" w:eastAsia="宋体" w:cs="宋体"/>
                <w:sz w:val="24"/>
                <w:szCs w:val="24"/>
              </w:rPr>
            </w:pPr>
            <w:r>
              <w:rPr>
                <w:rFonts w:hint="eastAsia" w:ascii="宋体" w:hAnsi="宋体" w:eastAsia="宋体" w:cs="宋体"/>
                <w:sz w:val="24"/>
                <w:szCs w:val="24"/>
              </w:rPr>
              <w:t>18981611210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团队基本情况简介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shd w:val="clear" w:color="auto" w:fill="auto"/>
          </w:tcPr>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学校人才工作“培养、稳定、引进”方针指导下，为促进一流课程的建设，无机及分析化学教学团队已形成了一支学术造诣较高，学历、年龄、专业和学缘结构合理，创新能力较强的老、中、青三结合的师资队伍。现有师资20人，其中教授7人，副教授10人；具有博士学位教师12人、硕士学位教师4人；博导5人，硕导11人；具有海外留学经历人员4人。教师队伍总体水平的提升，专业骨干队伍的基本形成，为学科建设创造了良好的条件。目前已建设省级精品课程1门、校级1门，校级教学团队1个，“双支”团队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团队主要成员（含负责人）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学历/职称</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毕业院校</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赵茂俊</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博士/教授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四川农业大学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陈华萍</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博士/教授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四川农业大学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张利</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博士/教授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四川农业大学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甄铧</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学士/教授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西南大学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张云松</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博士/教授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湖南大学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王显祥</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博士/教授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四川大学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分析化学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王妍媖</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博士/教授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四川大学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无机化学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吴明君</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硕士/副教授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四川大学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分析化学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印家健</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博士/副教授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四川大学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分析化学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代先祥</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学士/副教授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四川师范大学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化学教育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刘勇</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硕士/副教授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四川师范大学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赵  颖</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硕士/副教授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四川师范大学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材料科学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李云春</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博士/副教授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香港科技大学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赵小庆</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博士/副教授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南开大学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姜媛媛</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博士/副教授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四川农业大学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生物资源化学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鲁志伟</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博士/副教授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华南理工大学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林  丽</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博士/讲师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日本埼玉大学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应用化学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何晓利</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本科/副教授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四川农业大学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彭雪蓉</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本科/讲师</w:t>
            </w:r>
          </w:p>
        </w:tc>
        <w:tc>
          <w:tcPr>
            <w:tcW w:w="2552"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四川农业大学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段荣涛</w:t>
            </w:r>
          </w:p>
        </w:tc>
        <w:tc>
          <w:tcPr>
            <w:tcW w:w="2126" w:type="dxa"/>
            <w:gridSpan w:val="3"/>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硕士/讲师</w:t>
            </w:r>
          </w:p>
        </w:tc>
        <w:tc>
          <w:tcPr>
            <w:tcW w:w="2552" w:type="dxa"/>
            <w:shd w:val="clear" w:color="auto" w:fill="auto"/>
          </w:tcPr>
          <w:p>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四川大学</w:t>
            </w:r>
          </w:p>
        </w:tc>
        <w:tc>
          <w:tcPr>
            <w:tcW w:w="2460" w:type="dxa"/>
            <w:shd w:val="clear" w:color="auto" w:fill="auto"/>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384" w:type="dxa"/>
            <w:shd w:val="clear" w:color="auto" w:fill="auto"/>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教材建设情况</w:t>
            </w:r>
          </w:p>
        </w:tc>
        <w:tc>
          <w:tcPr>
            <w:tcW w:w="7138" w:type="dxa"/>
            <w:gridSpan w:val="5"/>
            <w:shd w:val="clear" w:color="auto" w:fill="auto"/>
          </w:tcPr>
          <w:p>
            <w:pPr>
              <w:spacing w:line="480" w:lineRule="auto"/>
              <w:ind w:right="-96"/>
              <w:jc w:val="left"/>
              <w:rPr>
                <w:rFonts w:hint="eastAsia" w:ascii="宋体" w:hAnsi="宋体" w:eastAsia="宋体" w:cs="宋体"/>
                <w:sz w:val="24"/>
                <w:szCs w:val="24"/>
              </w:rPr>
            </w:pPr>
            <w:r>
              <w:rPr>
                <w:rFonts w:hint="eastAsia" w:ascii="宋体" w:hAnsi="宋体" w:eastAsia="宋体" w:cs="宋体"/>
                <w:sz w:val="24"/>
                <w:szCs w:val="24"/>
              </w:rPr>
              <w:t>1、无机及分析化学（第三版），中国农业出版社，赵茂俊主编，张云松副主编，代先祥，印家健，李云春，吴明君，张利，陈华萍，赵颖参编，2017年，普通高等教育农业部“十三五”规划、全国高等农林院校“十三五”规划教材</w:t>
            </w:r>
          </w:p>
          <w:p>
            <w:pPr>
              <w:spacing w:line="480" w:lineRule="auto"/>
              <w:ind w:right="-96"/>
              <w:jc w:val="left"/>
              <w:rPr>
                <w:rFonts w:hint="eastAsia" w:ascii="宋体" w:hAnsi="宋体" w:eastAsia="宋体" w:cs="宋体"/>
                <w:sz w:val="24"/>
                <w:szCs w:val="24"/>
              </w:rPr>
            </w:pPr>
            <w:r>
              <w:rPr>
                <w:rFonts w:hint="eastAsia" w:ascii="宋体" w:hAnsi="宋体" w:eastAsia="宋体" w:cs="宋体"/>
                <w:sz w:val="24"/>
                <w:szCs w:val="24"/>
              </w:rPr>
              <w:t>2、无机及分析化学实验（第三版），中国农业出版社，张利主编，赵茂俊，张云松副主编，吴明君，陈华萍，印家健，代先祥，刘勇，赵颖，甄铧，李云春，王显祥，赵小庆，王妍媖，林丽，何晓利，彭雪蓉，姜媛媛参编，2017年，普通高等教育农业部“十三五”规划教材、全国高等农林院校“十三五”规划教材</w:t>
            </w:r>
          </w:p>
          <w:p>
            <w:pPr>
              <w:spacing w:line="480" w:lineRule="auto"/>
              <w:ind w:right="-96"/>
              <w:jc w:val="left"/>
              <w:rPr>
                <w:rFonts w:hint="eastAsia" w:ascii="宋体" w:hAnsi="宋体" w:eastAsia="宋体" w:cs="宋体"/>
                <w:sz w:val="24"/>
                <w:szCs w:val="24"/>
              </w:rPr>
            </w:pPr>
            <w:r>
              <w:rPr>
                <w:rFonts w:hint="eastAsia" w:ascii="宋体" w:hAnsi="宋体" w:eastAsia="宋体" w:cs="宋体"/>
                <w:sz w:val="24"/>
                <w:szCs w:val="24"/>
              </w:rPr>
              <w:t>3、无机及分析化学学习指导（第二版），中国农业出版社，赵茂俊主编，代先祥副主编，王妍媖，王显祥，印家健，刘勇，李云春，吴明君，张利，张云松，陈华萍，林丽，赵颖，赵小庆，姜媛媛，甄铧参编，2018年，普通高等教育农业部“十三五”规划、全国高等农林院校“十三五”规划教材</w:t>
            </w:r>
          </w:p>
          <w:p>
            <w:pPr>
              <w:spacing w:line="480" w:lineRule="auto"/>
              <w:ind w:right="-96"/>
              <w:jc w:val="left"/>
              <w:rPr>
                <w:rFonts w:hint="eastAsia" w:ascii="宋体" w:hAnsi="宋体" w:eastAsia="宋体" w:cs="宋体"/>
                <w:sz w:val="24"/>
                <w:szCs w:val="24"/>
              </w:rPr>
            </w:pPr>
            <w:r>
              <w:rPr>
                <w:rFonts w:hint="eastAsia" w:ascii="宋体" w:hAnsi="宋体" w:eastAsia="宋体" w:cs="宋体"/>
                <w:sz w:val="24"/>
                <w:szCs w:val="24"/>
              </w:rPr>
              <w:t>4、无机及分析化学（第二版），中国农业出版社，赵茂俊主编，印家健，吴明君，张利，张云松，陈华萍参编，2012年，普通高等教育农业部“十二五”规划教材、全国高等农林院校“十二五”规划教材</w:t>
            </w:r>
          </w:p>
          <w:p>
            <w:pPr>
              <w:spacing w:line="480" w:lineRule="auto"/>
              <w:ind w:right="-96"/>
              <w:jc w:val="left"/>
              <w:rPr>
                <w:rFonts w:hint="eastAsia" w:ascii="宋体" w:hAnsi="宋体" w:eastAsia="宋体" w:cs="宋体"/>
                <w:sz w:val="24"/>
                <w:szCs w:val="24"/>
              </w:rPr>
            </w:pPr>
            <w:r>
              <w:rPr>
                <w:rFonts w:hint="eastAsia" w:ascii="宋体" w:hAnsi="宋体" w:eastAsia="宋体" w:cs="宋体"/>
                <w:sz w:val="24"/>
                <w:szCs w:val="24"/>
              </w:rPr>
              <w:t>5、无机及分析化学实验（第二版），中国农业出版社，张利主编，赵茂俊副主编，吴明君，陈华萍，印家健，代先祥，张云松，刘勇，赵颖，何晓利，彭雪蓉参编，2013年，普通高等教育农业部“十二五”规划教材、全国高等农林院校“十二五”规划教材</w:t>
            </w:r>
          </w:p>
          <w:p>
            <w:pPr>
              <w:spacing w:line="480" w:lineRule="auto"/>
              <w:ind w:right="-96"/>
              <w:jc w:val="left"/>
              <w:rPr>
                <w:rFonts w:hint="eastAsia" w:ascii="宋体" w:hAnsi="宋体" w:eastAsia="宋体" w:cs="宋体"/>
                <w:sz w:val="24"/>
                <w:szCs w:val="24"/>
              </w:rPr>
            </w:pPr>
            <w:r>
              <w:rPr>
                <w:rFonts w:hint="eastAsia" w:ascii="宋体" w:hAnsi="宋体" w:eastAsia="宋体" w:cs="宋体"/>
                <w:sz w:val="24"/>
                <w:szCs w:val="24"/>
              </w:rPr>
              <w:t>6、无机及分析化学学习指导，中国农业出版社，赵茂俊主编，代先祥副主编，王显祥，印家健，刘勇，吴明君，张利，张云松，陈华萍，赵颖，甄铧参编，2012年，普通高等教育农业部“十二五”规划教材、全国高等农林院校“十二五”规划教材</w:t>
            </w:r>
          </w:p>
          <w:p>
            <w:pPr>
              <w:spacing w:line="480" w:lineRule="auto"/>
              <w:ind w:right="-96"/>
              <w:jc w:val="left"/>
              <w:rPr>
                <w:rFonts w:hint="eastAsia" w:ascii="宋体" w:hAnsi="宋体" w:eastAsia="宋体" w:cs="宋体"/>
                <w:sz w:val="24"/>
                <w:szCs w:val="24"/>
              </w:rPr>
            </w:pPr>
            <w:r>
              <w:rPr>
                <w:rFonts w:hint="eastAsia" w:ascii="宋体" w:hAnsi="宋体" w:eastAsia="宋体" w:cs="宋体"/>
                <w:spacing w:val="-6"/>
                <w:sz w:val="24"/>
                <w:szCs w:val="24"/>
              </w:rPr>
              <w:t>7、</w:t>
            </w:r>
            <w:r>
              <w:rPr>
                <w:rFonts w:hint="eastAsia" w:ascii="宋体" w:hAnsi="宋体" w:eastAsia="宋体" w:cs="宋体"/>
                <w:sz w:val="24"/>
                <w:szCs w:val="24"/>
              </w:rPr>
              <w:t>无机及分析化学，中国农业出版社，吴明君，张利，陈华萍，赵茂俊参编，2006年，普通高等教育农业部“十一五”规划教材、全国高等农林院校“十一五”规划教材</w:t>
            </w:r>
          </w:p>
          <w:p>
            <w:pPr>
              <w:spacing w:line="480" w:lineRule="auto"/>
              <w:ind w:right="-96"/>
              <w:jc w:val="left"/>
              <w:rPr>
                <w:rFonts w:hint="eastAsia" w:ascii="宋体" w:hAnsi="宋体" w:eastAsia="宋体" w:cs="宋体"/>
                <w:sz w:val="24"/>
                <w:szCs w:val="24"/>
              </w:rPr>
            </w:pPr>
            <w:r>
              <w:rPr>
                <w:rFonts w:hint="eastAsia" w:ascii="宋体" w:hAnsi="宋体" w:eastAsia="宋体" w:cs="宋体"/>
                <w:sz w:val="24"/>
                <w:szCs w:val="24"/>
              </w:rPr>
              <w:t>8、无机及分析化学实验，中国农业出版社，赵茂俊，张利，陈华萍副主编，吴明君，印家健，代先祥，张云松，刘勇，何晓利，彭雪蓉参编，2007年，全国高等农林院校“十一五”教材</w:t>
            </w:r>
          </w:p>
          <w:p>
            <w:pPr>
              <w:spacing w:line="480" w:lineRule="auto"/>
              <w:ind w:right="-96"/>
              <w:jc w:val="left"/>
              <w:rPr>
                <w:rFonts w:hint="eastAsia" w:ascii="宋体" w:hAnsi="宋体" w:eastAsia="宋体" w:cs="宋体"/>
                <w:sz w:val="24"/>
                <w:szCs w:val="24"/>
              </w:rPr>
            </w:pPr>
            <w:r>
              <w:rPr>
                <w:rFonts w:hint="eastAsia" w:ascii="宋体" w:hAnsi="宋体" w:eastAsia="宋体" w:cs="宋体"/>
                <w:sz w:val="24"/>
                <w:szCs w:val="24"/>
              </w:rPr>
              <w:t>9、《普通化学》，中国农业大学出版社，赵茂俊副主编，2009年，教学指导委员会推荐示范教材</w:t>
            </w:r>
          </w:p>
          <w:p>
            <w:pPr>
              <w:spacing w:line="480" w:lineRule="auto"/>
              <w:ind w:right="-96"/>
              <w:jc w:val="left"/>
              <w:rPr>
                <w:rFonts w:hint="eastAsia" w:ascii="宋体" w:hAnsi="宋体" w:eastAsia="宋体" w:cs="宋体"/>
                <w:sz w:val="24"/>
                <w:szCs w:val="24"/>
              </w:rPr>
            </w:pPr>
            <w:r>
              <w:rPr>
                <w:rFonts w:hint="eastAsia" w:ascii="宋体" w:hAnsi="宋体" w:eastAsia="宋体" w:cs="宋体"/>
                <w:sz w:val="24"/>
                <w:szCs w:val="24"/>
              </w:rPr>
              <w:t>10、基础化学实验，中国农业出版社，鲁志伟参编，2020年，普通高等教育农业农村部“十三五”规划教材、全国高等农林院校“十三五规划”规划教材</w:t>
            </w:r>
          </w:p>
          <w:p>
            <w:pPr>
              <w:spacing w:line="480" w:lineRule="auto"/>
              <w:ind w:right="-96"/>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pacing w:val="-6"/>
                <w:sz w:val="24"/>
                <w:szCs w:val="24"/>
              </w:rPr>
              <w:t>物理化学（第二版）</w:t>
            </w:r>
            <w:r>
              <w:rPr>
                <w:rFonts w:hint="eastAsia" w:ascii="宋体" w:hAnsi="宋体" w:eastAsia="宋体" w:cs="宋体"/>
                <w:sz w:val="24"/>
                <w:szCs w:val="24"/>
              </w:rPr>
              <w:t>，中国农业出版社，</w:t>
            </w:r>
            <w:r>
              <w:rPr>
                <w:rFonts w:hint="eastAsia" w:ascii="宋体" w:hAnsi="宋体" w:eastAsia="宋体" w:cs="宋体"/>
                <w:spacing w:val="-6"/>
                <w:sz w:val="24"/>
                <w:szCs w:val="24"/>
              </w:rPr>
              <w:t>赵颖参编，2017年，高等农林教育“十三五”规划教材</w:t>
            </w:r>
          </w:p>
          <w:p>
            <w:pPr>
              <w:spacing w:line="480" w:lineRule="auto"/>
              <w:ind w:right="-96"/>
              <w:jc w:val="left"/>
              <w:rPr>
                <w:rFonts w:hint="eastAsia" w:ascii="宋体" w:hAnsi="宋体" w:eastAsia="宋体" w:cs="宋体"/>
                <w:sz w:val="24"/>
                <w:szCs w:val="24"/>
              </w:rPr>
            </w:pPr>
            <w:r>
              <w:rPr>
                <w:rFonts w:hint="eastAsia" w:ascii="宋体" w:hAnsi="宋体" w:eastAsia="宋体" w:cs="宋体"/>
                <w:sz w:val="24"/>
                <w:szCs w:val="24"/>
              </w:rPr>
              <w:t>12、分析化学，中国农业大学出版社，印家健参编，2010年，全国高等农林院校“十一五规划”教材</w:t>
            </w:r>
          </w:p>
          <w:p>
            <w:pPr>
              <w:spacing w:line="480" w:lineRule="auto"/>
              <w:ind w:right="-96"/>
              <w:jc w:val="left"/>
              <w:rPr>
                <w:rFonts w:hint="eastAsia" w:ascii="宋体" w:hAnsi="宋体" w:eastAsia="宋体" w:cs="宋体"/>
                <w:sz w:val="24"/>
                <w:szCs w:val="24"/>
              </w:rPr>
            </w:pPr>
            <w:r>
              <w:rPr>
                <w:rFonts w:hint="eastAsia" w:ascii="宋体" w:hAnsi="宋体" w:eastAsia="宋体" w:cs="宋体"/>
                <w:sz w:val="24"/>
                <w:szCs w:val="24"/>
              </w:rPr>
              <w:t>13、食品化学与分析综合实验，中国农业大学出版社，印家健参编，2009年，全国高等农林院校“十一五规划”教材</w:t>
            </w:r>
          </w:p>
          <w:p>
            <w:pPr>
              <w:spacing w:line="480" w:lineRule="auto"/>
              <w:ind w:right="-96"/>
              <w:jc w:val="left"/>
              <w:rPr>
                <w:rFonts w:hint="eastAsia" w:ascii="宋体" w:hAnsi="宋体" w:eastAsia="宋体" w:cs="宋体"/>
                <w:sz w:val="24"/>
                <w:szCs w:val="24"/>
              </w:rPr>
            </w:pPr>
            <w:r>
              <w:rPr>
                <w:rFonts w:hint="eastAsia" w:ascii="宋体" w:hAnsi="宋体" w:eastAsia="宋体" w:cs="宋体"/>
                <w:sz w:val="24"/>
                <w:szCs w:val="24"/>
              </w:rPr>
              <w:t>14、普通及无机化学学习指导，四川科学技术出版社，赵茂俊，代先祥，张云松参编，2005年，协编教材</w:t>
            </w:r>
          </w:p>
          <w:p>
            <w:pPr>
              <w:spacing w:line="480" w:lineRule="auto"/>
              <w:ind w:right="-96"/>
              <w:jc w:val="left"/>
              <w:rPr>
                <w:rFonts w:hint="eastAsia" w:ascii="宋体" w:hAnsi="宋体" w:eastAsia="宋体" w:cs="宋体"/>
                <w:sz w:val="24"/>
                <w:szCs w:val="24"/>
              </w:rPr>
            </w:pPr>
            <w:r>
              <w:rPr>
                <w:rFonts w:hint="eastAsia" w:ascii="宋体" w:hAnsi="宋体" w:eastAsia="宋体" w:cs="宋体"/>
                <w:sz w:val="24"/>
                <w:szCs w:val="24"/>
              </w:rPr>
              <w:t>15、无机及分析化学实验，四川科学技术出版社，代先祥，张云松，吴明君，赵茂俊，陈华萍，张利，刘勇参编，2003年，协编教材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1384" w:type="dxa"/>
            <w:shd w:val="clear" w:color="auto" w:fill="auto"/>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教改项目立项情况</w:t>
            </w:r>
          </w:p>
        </w:tc>
        <w:tc>
          <w:tcPr>
            <w:tcW w:w="7138" w:type="dxa"/>
            <w:gridSpan w:val="5"/>
            <w:shd w:val="clear" w:color="auto" w:fill="auto"/>
          </w:tcPr>
          <w:p>
            <w:pPr>
              <w:spacing w:line="480" w:lineRule="auto"/>
              <w:rPr>
                <w:rFonts w:hint="eastAsia" w:ascii="宋体" w:hAnsi="宋体" w:eastAsia="宋体" w:cs="宋体"/>
                <w:sz w:val="24"/>
                <w:szCs w:val="24"/>
              </w:rPr>
            </w:pPr>
            <w:r>
              <w:rPr>
                <w:rFonts w:hint="eastAsia" w:ascii="宋体" w:hAnsi="宋体" w:eastAsia="宋体" w:cs="宋体"/>
                <w:sz w:val="24"/>
                <w:szCs w:val="24"/>
              </w:rPr>
              <w:t>1、基于分类培养目标的《无机及分析化学实验》课程体系构建，赵颖，2015-2018，四川农业大学</w:t>
            </w:r>
          </w:p>
          <w:p>
            <w:pPr>
              <w:spacing w:line="480" w:lineRule="auto"/>
              <w:rPr>
                <w:rFonts w:hint="eastAsia" w:ascii="宋体" w:hAnsi="宋体" w:eastAsia="宋体" w:cs="宋体"/>
                <w:sz w:val="24"/>
                <w:szCs w:val="24"/>
              </w:rPr>
            </w:pPr>
            <w:r>
              <w:rPr>
                <w:rFonts w:hint="eastAsia" w:ascii="宋体" w:hAnsi="宋体" w:eastAsia="宋体" w:cs="宋体"/>
                <w:sz w:val="24"/>
                <w:szCs w:val="24"/>
              </w:rPr>
              <w:t>2、提高农林高校化学类专业学生学习兴趣的途径探索与实践，李云春，2013-2015，四川农业大学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1384" w:type="dxa"/>
            <w:shd w:val="clear" w:color="auto" w:fill="auto"/>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教改论文发表情况</w:t>
            </w:r>
          </w:p>
        </w:tc>
        <w:tc>
          <w:tcPr>
            <w:tcW w:w="7138" w:type="dxa"/>
            <w:gridSpan w:val="5"/>
            <w:shd w:val="clear" w:color="auto" w:fill="auto"/>
          </w:tcPr>
          <w:p>
            <w:pPr>
              <w:spacing w:line="480" w:lineRule="auto"/>
              <w:rPr>
                <w:rFonts w:hint="eastAsia" w:ascii="宋体" w:hAnsi="宋体" w:eastAsia="宋体" w:cs="宋体"/>
                <w:sz w:val="24"/>
                <w:szCs w:val="24"/>
              </w:rPr>
            </w:pPr>
            <w:r>
              <w:rPr>
                <w:rFonts w:hint="eastAsia" w:ascii="宋体" w:hAnsi="宋体" w:eastAsia="宋体" w:cs="宋体"/>
                <w:sz w:val="24"/>
                <w:szCs w:val="24"/>
              </w:rPr>
              <w:t>1、赵颖，林丽，赵茂俊，PBL教学法在无机及分析化学实验课程教学中的应用，广州化工，2018，46:155-156.</w:t>
            </w:r>
          </w:p>
          <w:p>
            <w:pPr>
              <w:spacing w:line="480" w:lineRule="auto"/>
              <w:rPr>
                <w:rFonts w:hint="eastAsia" w:ascii="宋体" w:hAnsi="宋体" w:eastAsia="宋体" w:cs="宋体"/>
                <w:sz w:val="24"/>
                <w:szCs w:val="24"/>
              </w:rPr>
            </w:pPr>
            <w:r>
              <w:rPr>
                <w:rFonts w:hint="eastAsia" w:ascii="宋体" w:hAnsi="宋体" w:eastAsia="宋体" w:cs="宋体"/>
                <w:sz w:val="24"/>
                <w:szCs w:val="24"/>
              </w:rPr>
              <w:t>2、印家健，崔扬健，姜李，立体整合——高等农业院校基础化学教学内容与模式改革，高等农业教育，2007，4：34-35</w:t>
            </w:r>
          </w:p>
          <w:p>
            <w:pPr>
              <w:spacing w:line="480" w:lineRule="auto"/>
              <w:rPr>
                <w:rFonts w:hint="eastAsia" w:ascii="宋体" w:hAnsi="宋体" w:eastAsia="宋体" w:cs="宋体"/>
                <w:sz w:val="24"/>
                <w:szCs w:val="24"/>
              </w:rPr>
            </w:pPr>
            <w:r>
              <w:rPr>
                <w:rFonts w:hint="eastAsia" w:ascii="宋体" w:hAnsi="宋体" w:eastAsia="宋体" w:cs="宋体"/>
                <w:sz w:val="24"/>
                <w:szCs w:val="24"/>
              </w:rPr>
              <w:t>3、王仁国，代先祥，张云松，赵茂俊，张利，科学与人文教育的融合——化学与社会课的实践与探索，四川农业大学学报，2004，22：63-64</w:t>
            </w:r>
          </w:p>
          <w:p>
            <w:pPr>
              <w:spacing w:line="480" w:lineRule="auto"/>
              <w:rPr>
                <w:rFonts w:hint="eastAsia" w:ascii="宋体" w:hAnsi="宋体" w:eastAsia="宋体" w:cs="宋体"/>
                <w:sz w:val="24"/>
                <w:szCs w:val="24"/>
              </w:rPr>
            </w:pPr>
            <w:r>
              <w:rPr>
                <w:rFonts w:hint="eastAsia" w:ascii="宋体" w:hAnsi="宋体" w:eastAsia="宋体" w:cs="宋体"/>
                <w:sz w:val="24"/>
                <w:szCs w:val="24"/>
              </w:rPr>
              <w:t>4、印家健，毕剑，试用“三论”指导分析化学教学，达县师范高等专科学校学报，2000，2：76-78</w:t>
            </w:r>
          </w:p>
          <w:p>
            <w:pPr>
              <w:spacing w:line="480" w:lineRule="auto"/>
              <w:rPr>
                <w:rFonts w:hint="eastAsia" w:ascii="宋体" w:hAnsi="宋体" w:eastAsia="宋体" w:cs="宋体"/>
                <w:sz w:val="24"/>
                <w:szCs w:val="24"/>
              </w:rPr>
            </w:pPr>
            <w:r>
              <w:rPr>
                <w:rFonts w:hint="eastAsia" w:ascii="宋体" w:hAnsi="宋体" w:eastAsia="宋体" w:cs="宋体"/>
                <w:sz w:val="24"/>
                <w:szCs w:val="24"/>
              </w:rPr>
              <w:t>5、印家健，胡韦，分析化学实验课教学中创造性思维的培养，自贡师范高等专科学校学报，1999，4：42-44</w:t>
            </w:r>
          </w:p>
          <w:p>
            <w:pPr>
              <w:spacing w:line="480" w:lineRule="auto"/>
              <w:rPr>
                <w:rFonts w:hint="eastAsia" w:ascii="宋体" w:hAnsi="宋体" w:eastAsia="宋体" w:cs="宋体"/>
                <w:sz w:val="24"/>
                <w:szCs w:val="24"/>
              </w:rPr>
            </w:pPr>
            <w:r>
              <w:rPr>
                <w:rFonts w:hint="eastAsia" w:ascii="宋体" w:hAnsi="宋体" w:eastAsia="宋体" w:cs="宋体"/>
                <w:sz w:val="24"/>
                <w:szCs w:val="24"/>
              </w:rPr>
              <w:t>6、李云春，信息交流技术与非师范高校化学课程的整合——基于“低头族”的解决方案研究，四川省高等教育学会，2015，学术年会论文。</w:t>
            </w:r>
          </w:p>
          <w:p>
            <w:pPr>
              <w:spacing w:line="480" w:lineRule="auto"/>
              <w:rPr>
                <w:rFonts w:hint="eastAsia" w:ascii="宋体" w:hAnsi="宋体" w:eastAsia="宋体" w:cs="宋体"/>
                <w:sz w:val="24"/>
                <w:szCs w:val="24"/>
              </w:rPr>
            </w:pPr>
            <w:r>
              <w:rPr>
                <w:rFonts w:hint="eastAsia" w:ascii="宋体" w:hAnsi="宋体" w:eastAsia="宋体" w:cs="宋体"/>
                <w:sz w:val="24"/>
                <w:szCs w:val="24"/>
              </w:rPr>
              <w:t>7、王仁国，张云松，赵茂俊，代先祥，游承干，基础化学验证实验的正名及改革的探索，中国现代教育装备，2010，23：73-75</w:t>
            </w:r>
          </w:p>
          <w:p>
            <w:pPr>
              <w:spacing w:line="480" w:lineRule="auto"/>
              <w:rPr>
                <w:rFonts w:hint="eastAsia" w:ascii="宋体" w:hAnsi="宋体" w:eastAsia="宋体" w:cs="宋体"/>
                <w:sz w:val="24"/>
                <w:szCs w:val="24"/>
              </w:rPr>
            </w:pPr>
            <w:r>
              <w:rPr>
                <w:rFonts w:hint="eastAsia" w:ascii="宋体" w:hAnsi="宋体" w:eastAsia="宋体" w:cs="宋体"/>
                <w:sz w:val="24"/>
                <w:szCs w:val="24"/>
              </w:rPr>
              <w:t>8、江兰，彭雪蓉，何晓利，代先祥，计算机模拟实验应用于化学教学的研究，科技创新导报，2009，06：152-153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trPr>
        <w:tc>
          <w:tcPr>
            <w:tcW w:w="1384" w:type="dxa"/>
            <w:shd w:val="clear" w:color="auto" w:fill="auto"/>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教学获奖情况</w:t>
            </w:r>
          </w:p>
        </w:tc>
        <w:tc>
          <w:tcPr>
            <w:tcW w:w="7138" w:type="dxa"/>
            <w:gridSpan w:val="5"/>
            <w:shd w:val="clear" w:color="auto" w:fill="auto"/>
          </w:tcPr>
          <w:p>
            <w:pPr>
              <w:spacing w:line="480" w:lineRule="auto"/>
              <w:rPr>
                <w:rFonts w:hint="eastAsia" w:ascii="宋体" w:hAnsi="宋体" w:eastAsia="宋体" w:cs="宋体"/>
                <w:sz w:val="24"/>
                <w:szCs w:val="24"/>
              </w:rPr>
            </w:pPr>
            <w:r>
              <w:rPr>
                <w:rFonts w:hint="eastAsia" w:ascii="宋体" w:hAnsi="宋体" w:eastAsia="宋体" w:cs="宋体"/>
                <w:sz w:val="24"/>
                <w:szCs w:val="24"/>
              </w:rPr>
              <w:t>1、 “无机及分析化学”被评为省级精品课程，四川省教育厅，2005年</w:t>
            </w:r>
          </w:p>
          <w:p>
            <w:pPr>
              <w:spacing w:line="480" w:lineRule="auto"/>
              <w:rPr>
                <w:rFonts w:hint="eastAsia" w:ascii="宋体" w:hAnsi="宋体" w:eastAsia="宋体" w:cs="宋体"/>
                <w:sz w:val="24"/>
                <w:szCs w:val="24"/>
              </w:rPr>
            </w:pPr>
            <w:r>
              <w:rPr>
                <w:rFonts w:hint="eastAsia" w:ascii="宋体" w:hAnsi="宋体" w:eastAsia="宋体" w:cs="宋体"/>
                <w:sz w:val="24"/>
                <w:szCs w:val="24"/>
              </w:rPr>
              <w:t>2、计算机模拟实验应用于化学教学的研究 ，四川省人民政府，四川省教学成果三等奖，2005年，代先祥（排序1），张云松（排序2），吴明君（排序5）</w:t>
            </w:r>
          </w:p>
          <w:p>
            <w:pPr>
              <w:spacing w:line="480" w:lineRule="auto"/>
              <w:rPr>
                <w:rFonts w:hint="eastAsia" w:ascii="宋体" w:hAnsi="宋体" w:eastAsia="宋体" w:cs="宋体"/>
                <w:sz w:val="24"/>
                <w:szCs w:val="24"/>
              </w:rPr>
            </w:pPr>
            <w:r>
              <w:rPr>
                <w:rFonts w:hint="eastAsia" w:ascii="宋体" w:hAnsi="宋体" w:eastAsia="宋体" w:cs="宋体"/>
                <w:sz w:val="24"/>
                <w:szCs w:val="24"/>
              </w:rPr>
              <w:t>3、计算机模拟实验应用于化学教学的研究 ，四川农业大学，四川农业大学教学成果一等奖，2005年，代先祥（排序1），张云松（排序2），吴明君（排序5）</w:t>
            </w:r>
          </w:p>
          <w:p>
            <w:pPr>
              <w:spacing w:line="480" w:lineRule="auto"/>
              <w:rPr>
                <w:rFonts w:hint="eastAsia" w:ascii="宋体" w:hAnsi="宋体" w:eastAsia="宋体" w:cs="宋体"/>
                <w:sz w:val="24"/>
                <w:szCs w:val="24"/>
              </w:rPr>
            </w:pPr>
            <w:r>
              <w:rPr>
                <w:rFonts w:hint="eastAsia" w:ascii="宋体" w:hAnsi="宋体" w:eastAsia="宋体" w:cs="宋体"/>
                <w:sz w:val="24"/>
                <w:szCs w:val="24"/>
              </w:rPr>
              <w:t>4、《无机及分析化学》（第三版，2017年，中国农业出版社，普通高等教育农业部“十三五”规划、全国高等农林院校“十三五”规划教材），中华农业科教基金会，全国农业教育“优秀教材奖”， 2020年，张云松（排序3）</w:t>
            </w:r>
          </w:p>
          <w:p>
            <w:pPr>
              <w:spacing w:line="480" w:lineRule="auto"/>
              <w:rPr>
                <w:rFonts w:hint="eastAsia" w:ascii="宋体" w:hAnsi="宋体" w:eastAsia="宋体" w:cs="宋体"/>
                <w:sz w:val="24"/>
                <w:szCs w:val="24"/>
              </w:rPr>
            </w:pPr>
            <w:r>
              <w:rPr>
                <w:rFonts w:hint="eastAsia" w:ascii="宋体" w:hAnsi="宋体" w:eastAsia="宋体" w:cs="宋体"/>
                <w:sz w:val="24"/>
                <w:szCs w:val="24"/>
              </w:rPr>
              <w:t>5、《无机及分析化学》课件，教育部教育管理信息中心，“第十三届全国多媒体课件大赛”三等奖，2013年，代先祥（排序1），张云松（排序3），赵茂俊（排序6），吴明君（排序7），王显祥（排序8）</w:t>
            </w:r>
          </w:p>
          <w:p>
            <w:pPr>
              <w:spacing w:line="480" w:lineRule="auto"/>
              <w:rPr>
                <w:rFonts w:hint="eastAsia" w:ascii="宋体" w:hAnsi="宋体" w:eastAsia="宋体" w:cs="宋体"/>
                <w:sz w:val="24"/>
                <w:szCs w:val="24"/>
              </w:rPr>
            </w:pPr>
            <w:r>
              <w:rPr>
                <w:rFonts w:hint="eastAsia" w:ascii="宋体" w:hAnsi="宋体" w:eastAsia="宋体" w:cs="宋体"/>
                <w:sz w:val="24"/>
                <w:szCs w:val="24"/>
              </w:rPr>
              <w:t>6、《无机化学—化学基础知识》PPT课件，教育部教育管理信息中心，“第十四届全国多媒体课件大赛”优秀奖，2014年，代先祥（排序1），李云春（排序2），赵小庆（排序3），甄铧（4），印家健（排序5），刘勇（排序6），赵颖（排序7）</w:t>
            </w:r>
          </w:p>
          <w:p>
            <w:pPr>
              <w:spacing w:line="480" w:lineRule="auto"/>
              <w:rPr>
                <w:rFonts w:hint="eastAsia" w:ascii="宋体" w:hAnsi="宋体" w:eastAsia="宋体" w:cs="宋体"/>
                <w:sz w:val="24"/>
                <w:szCs w:val="24"/>
              </w:rPr>
            </w:pPr>
            <w:r>
              <w:rPr>
                <w:rFonts w:hint="eastAsia" w:ascii="宋体" w:hAnsi="宋体" w:eastAsia="宋体" w:cs="宋体"/>
                <w:sz w:val="24"/>
                <w:szCs w:val="24"/>
              </w:rPr>
              <w:t>7、《无机及分析化学》课件，四川农业大学，多媒体课件大赛”一等奖，2013年，代先祥（排序1）</w:t>
            </w:r>
          </w:p>
          <w:p>
            <w:pPr>
              <w:spacing w:line="480" w:lineRule="auto"/>
              <w:rPr>
                <w:rFonts w:hint="eastAsia" w:ascii="宋体" w:hAnsi="宋体" w:eastAsia="宋体" w:cs="宋体"/>
                <w:sz w:val="24"/>
                <w:szCs w:val="24"/>
              </w:rPr>
            </w:pPr>
            <w:r>
              <w:rPr>
                <w:rFonts w:hint="eastAsia" w:ascii="宋体" w:hAnsi="宋体" w:eastAsia="宋体" w:cs="宋体"/>
                <w:sz w:val="24"/>
                <w:szCs w:val="24"/>
              </w:rPr>
              <w:t>8、高等农业院校数理化基础课程“3+3”教学模式的构建与实践，四川农业大学，校级教学成果奖二等奖，2021年，林丽（排序7），李云春（排序8）</w:t>
            </w:r>
          </w:p>
          <w:p>
            <w:pPr>
              <w:spacing w:line="480" w:lineRule="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pacing w:val="-6"/>
                <w:sz w:val="24"/>
                <w:szCs w:val="24"/>
              </w:rPr>
              <w:t>农林高校本科数理化生基础课程分层教学模式及综合考评体系的构建与实践，四川农业大学，校级教学成果奖一等奖，2017年，赵茂俊（排序6）</w:t>
            </w:r>
          </w:p>
          <w:p>
            <w:pPr>
              <w:spacing w:line="480" w:lineRule="auto"/>
              <w:rPr>
                <w:rFonts w:hint="eastAsia" w:ascii="宋体" w:hAnsi="宋体" w:eastAsia="宋体" w:cs="宋体"/>
                <w:sz w:val="24"/>
                <w:szCs w:val="24"/>
              </w:rPr>
            </w:pPr>
            <w:r>
              <w:rPr>
                <w:rFonts w:hint="eastAsia" w:ascii="宋体" w:hAnsi="宋体" w:eastAsia="宋体" w:cs="宋体"/>
                <w:sz w:val="24"/>
                <w:szCs w:val="24"/>
              </w:rPr>
              <w:t>10、构建具有农林特色的理学类本科创新人才培养体系的研究与实践，四川农业大学，校级教学成果奖一等奖，2012年，</w:t>
            </w:r>
            <w:r>
              <w:rPr>
                <w:rFonts w:hint="eastAsia" w:ascii="宋体" w:hAnsi="宋体" w:eastAsia="宋体" w:cs="宋体"/>
                <w:spacing w:val="-6"/>
                <w:sz w:val="24"/>
                <w:szCs w:val="24"/>
              </w:rPr>
              <w:t>赵茂俊（排序5）</w:t>
            </w:r>
          </w:p>
          <w:p>
            <w:pPr>
              <w:spacing w:line="480" w:lineRule="auto"/>
              <w:rPr>
                <w:rFonts w:hint="eastAsia" w:ascii="宋体" w:hAnsi="宋体" w:eastAsia="宋体" w:cs="宋体"/>
                <w:sz w:val="24"/>
                <w:szCs w:val="24"/>
              </w:rPr>
            </w:pPr>
            <w:r>
              <w:rPr>
                <w:rFonts w:hint="eastAsia" w:ascii="宋体" w:hAnsi="宋体" w:eastAsia="宋体" w:cs="宋体"/>
                <w:sz w:val="24"/>
                <w:szCs w:val="24"/>
              </w:rPr>
              <w:t>11、加强理、化、生概论课程建设、培养学生综合素质，四川农业大学，校级教学成果奖二等奖，2005年，</w:t>
            </w:r>
            <w:r>
              <w:rPr>
                <w:rFonts w:hint="eastAsia" w:ascii="宋体" w:hAnsi="宋体" w:eastAsia="宋体" w:cs="宋体"/>
                <w:spacing w:val="-6"/>
                <w:sz w:val="24"/>
                <w:szCs w:val="24"/>
              </w:rPr>
              <w:t>赵茂俊（排序4）</w:t>
            </w:r>
          </w:p>
          <w:p>
            <w:pPr>
              <w:spacing w:line="480" w:lineRule="auto"/>
              <w:rPr>
                <w:rFonts w:hint="eastAsia" w:ascii="宋体" w:hAnsi="宋体" w:eastAsia="宋体" w:cs="宋体"/>
                <w:sz w:val="24"/>
                <w:szCs w:val="24"/>
              </w:rPr>
            </w:pPr>
          </w:p>
          <w:p>
            <w:pPr>
              <w:spacing w:line="480" w:lineRule="auto"/>
              <w:rPr>
                <w:rFonts w:hint="eastAsia" w:ascii="宋体" w:hAnsi="宋体" w:eastAsia="宋体" w:cs="宋体"/>
                <w:sz w:val="24"/>
                <w:szCs w:val="24"/>
              </w:rPr>
            </w:pPr>
            <w:r>
              <w:rPr>
                <w:rFonts w:hint="eastAsia" w:ascii="宋体" w:hAnsi="宋体" w:eastAsia="宋体" w:cs="宋体"/>
                <w:sz w:val="24"/>
                <w:szCs w:val="24"/>
              </w:rPr>
              <w:t>赵茂俊，四川省“优秀教师”，2013年；</w:t>
            </w:r>
          </w:p>
          <w:p>
            <w:pPr>
              <w:spacing w:line="480" w:lineRule="auto"/>
              <w:rPr>
                <w:rFonts w:hint="eastAsia" w:ascii="宋体" w:hAnsi="宋体" w:eastAsia="宋体" w:cs="宋体"/>
                <w:sz w:val="24"/>
                <w:szCs w:val="24"/>
              </w:rPr>
            </w:pPr>
            <w:r>
              <w:rPr>
                <w:rFonts w:hint="eastAsia" w:ascii="宋体" w:hAnsi="宋体" w:eastAsia="宋体" w:cs="宋体"/>
                <w:sz w:val="24"/>
                <w:szCs w:val="24"/>
              </w:rPr>
              <w:t>赵茂俊，四川农业大学优秀共产党员，2008年</w:t>
            </w:r>
          </w:p>
          <w:p>
            <w:pPr>
              <w:spacing w:line="480" w:lineRule="auto"/>
              <w:rPr>
                <w:rFonts w:hint="eastAsia" w:ascii="宋体" w:hAnsi="宋体" w:eastAsia="宋体" w:cs="宋体"/>
                <w:sz w:val="24"/>
                <w:szCs w:val="24"/>
              </w:rPr>
            </w:pPr>
            <w:r>
              <w:rPr>
                <w:rFonts w:hint="eastAsia" w:ascii="宋体" w:hAnsi="宋体" w:eastAsia="宋体" w:cs="宋体"/>
                <w:sz w:val="24"/>
                <w:szCs w:val="24"/>
              </w:rPr>
              <w:t>甄  铧，本科课堂教学质量奖特等奖，2019年；</w:t>
            </w:r>
          </w:p>
          <w:p>
            <w:pPr>
              <w:spacing w:line="480" w:lineRule="auto"/>
              <w:rPr>
                <w:rFonts w:hint="eastAsia" w:ascii="宋体" w:hAnsi="宋体" w:eastAsia="宋体" w:cs="宋体"/>
                <w:sz w:val="24"/>
                <w:szCs w:val="24"/>
              </w:rPr>
            </w:pPr>
            <w:r>
              <w:rPr>
                <w:rFonts w:hint="eastAsia" w:ascii="宋体" w:hAnsi="宋体" w:eastAsia="宋体" w:cs="宋体"/>
                <w:sz w:val="24"/>
                <w:szCs w:val="24"/>
              </w:rPr>
              <w:t>赵  颖，本科课堂教学质量奖特等奖，2015年；</w:t>
            </w:r>
          </w:p>
          <w:p>
            <w:pPr>
              <w:spacing w:line="480" w:lineRule="auto"/>
              <w:rPr>
                <w:rFonts w:hint="eastAsia" w:ascii="宋体" w:hAnsi="宋体" w:eastAsia="宋体" w:cs="宋体"/>
                <w:sz w:val="24"/>
                <w:szCs w:val="24"/>
              </w:rPr>
            </w:pPr>
            <w:r>
              <w:rPr>
                <w:rFonts w:hint="eastAsia" w:ascii="宋体" w:hAnsi="宋体" w:eastAsia="宋体" w:cs="宋体"/>
                <w:sz w:val="24"/>
                <w:szCs w:val="24"/>
              </w:rPr>
              <w:t>赵  颖，本科课堂教学质量奖一等奖，2021年；</w:t>
            </w:r>
          </w:p>
          <w:p>
            <w:pPr>
              <w:spacing w:line="480" w:lineRule="auto"/>
              <w:rPr>
                <w:rFonts w:hint="eastAsia" w:ascii="宋体" w:hAnsi="宋体" w:eastAsia="宋体" w:cs="宋体"/>
                <w:sz w:val="24"/>
                <w:szCs w:val="24"/>
              </w:rPr>
            </w:pPr>
            <w:r>
              <w:rPr>
                <w:rFonts w:hint="eastAsia" w:ascii="宋体" w:hAnsi="宋体" w:eastAsia="宋体" w:cs="宋体"/>
                <w:sz w:val="24"/>
                <w:szCs w:val="24"/>
              </w:rPr>
              <w:t>代先祥，本科课堂教学质量奖一等奖，2016年；</w:t>
            </w:r>
          </w:p>
          <w:p>
            <w:pPr>
              <w:spacing w:line="480" w:lineRule="auto"/>
              <w:rPr>
                <w:rFonts w:hint="eastAsia" w:ascii="宋体" w:hAnsi="宋体" w:eastAsia="宋体" w:cs="宋体"/>
                <w:sz w:val="24"/>
                <w:szCs w:val="24"/>
              </w:rPr>
            </w:pPr>
            <w:r>
              <w:rPr>
                <w:rFonts w:hint="eastAsia" w:ascii="宋体" w:hAnsi="宋体" w:eastAsia="宋体" w:cs="宋体"/>
                <w:sz w:val="24"/>
                <w:szCs w:val="24"/>
              </w:rPr>
              <w:t>赵茂俊，本科课堂教学质量奖二等奖，2021年；</w:t>
            </w:r>
          </w:p>
          <w:p>
            <w:pPr>
              <w:spacing w:line="480" w:lineRule="auto"/>
              <w:rPr>
                <w:rFonts w:hint="eastAsia" w:ascii="宋体" w:hAnsi="宋体" w:eastAsia="宋体" w:cs="宋体"/>
                <w:sz w:val="24"/>
                <w:szCs w:val="24"/>
              </w:rPr>
            </w:pPr>
            <w:r>
              <w:rPr>
                <w:rFonts w:hint="eastAsia" w:ascii="宋体" w:hAnsi="宋体" w:eastAsia="宋体" w:cs="宋体"/>
                <w:sz w:val="24"/>
                <w:szCs w:val="24"/>
              </w:rPr>
              <w:t>吴明君，本科课堂教学质量奖二等奖，2021年；</w:t>
            </w:r>
          </w:p>
          <w:p>
            <w:pPr>
              <w:spacing w:line="480" w:lineRule="auto"/>
              <w:rPr>
                <w:rFonts w:hint="eastAsia" w:ascii="宋体" w:hAnsi="宋体" w:eastAsia="宋体" w:cs="宋体"/>
                <w:sz w:val="24"/>
                <w:szCs w:val="24"/>
              </w:rPr>
            </w:pPr>
            <w:r>
              <w:rPr>
                <w:rFonts w:hint="eastAsia" w:ascii="宋体" w:hAnsi="宋体" w:eastAsia="宋体" w:cs="宋体"/>
                <w:sz w:val="24"/>
                <w:szCs w:val="24"/>
              </w:rPr>
              <w:t>刘  勇，本科课堂教学质量奖二等奖，2020年；</w:t>
            </w:r>
          </w:p>
          <w:p>
            <w:pPr>
              <w:spacing w:line="480" w:lineRule="auto"/>
              <w:rPr>
                <w:rFonts w:hint="eastAsia" w:ascii="宋体" w:hAnsi="宋体" w:eastAsia="宋体" w:cs="宋体"/>
                <w:sz w:val="24"/>
                <w:szCs w:val="24"/>
              </w:rPr>
            </w:pPr>
            <w:r>
              <w:rPr>
                <w:rFonts w:hint="eastAsia" w:ascii="宋体" w:hAnsi="宋体" w:eastAsia="宋体" w:cs="宋体"/>
                <w:sz w:val="24"/>
                <w:szCs w:val="24"/>
              </w:rPr>
              <w:t>姜媛媛，本科课堂教学质量奖二等奖，2020年；</w:t>
            </w:r>
          </w:p>
          <w:p>
            <w:pPr>
              <w:spacing w:line="480" w:lineRule="auto"/>
              <w:rPr>
                <w:rFonts w:hint="eastAsia" w:ascii="宋体" w:hAnsi="宋体" w:eastAsia="宋体" w:cs="宋体"/>
                <w:sz w:val="24"/>
                <w:szCs w:val="24"/>
              </w:rPr>
            </w:pPr>
            <w:r>
              <w:rPr>
                <w:rFonts w:hint="eastAsia" w:ascii="宋体" w:hAnsi="宋体" w:eastAsia="宋体" w:cs="宋体"/>
                <w:sz w:val="24"/>
                <w:szCs w:val="24"/>
              </w:rPr>
              <w:t>林  丽，本科课堂教学质量奖二等奖，2018年；</w:t>
            </w:r>
          </w:p>
          <w:p>
            <w:pPr>
              <w:spacing w:line="480" w:lineRule="auto"/>
              <w:rPr>
                <w:rFonts w:hint="eastAsia" w:ascii="宋体" w:hAnsi="宋体" w:eastAsia="宋体" w:cs="宋体"/>
                <w:sz w:val="24"/>
                <w:szCs w:val="24"/>
              </w:rPr>
            </w:pPr>
            <w:r>
              <w:rPr>
                <w:rFonts w:hint="eastAsia" w:ascii="宋体" w:hAnsi="宋体" w:eastAsia="宋体" w:cs="宋体"/>
                <w:sz w:val="24"/>
                <w:szCs w:val="24"/>
              </w:rPr>
              <w:t>李云春，本科课堂教学质量奖二等奖，2017年；</w:t>
            </w:r>
          </w:p>
          <w:p>
            <w:pPr>
              <w:spacing w:line="480" w:lineRule="auto"/>
              <w:rPr>
                <w:rFonts w:hint="eastAsia" w:ascii="宋体" w:hAnsi="宋体" w:eastAsia="宋体" w:cs="宋体"/>
                <w:sz w:val="24"/>
                <w:szCs w:val="24"/>
              </w:rPr>
            </w:pPr>
            <w:r>
              <w:rPr>
                <w:rFonts w:hint="eastAsia" w:ascii="宋体" w:hAnsi="宋体" w:eastAsia="宋体" w:cs="宋体"/>
                <w:sz w:val="24"/>
                <w:szCs w:val="24"/>
              </w:rPr>
              <w:t>赵小庆，本科课堂教学质量奖二等奖，2017年；</w:t>
            </w:r>
          </w:p>
          <w:p>
            <w:pPr>
              <w:spacing w:line="480" w:lineRule="auto"/>
              <w:rPr>
                <w:rFonts w:hint="eastAsia" w:ascii="宋体" w:hAnsi="宋体" w:eastAsia="宋体" w:cs="宋体"/>
                <w:sz w:val="24"/>
                <w:szCs w:val="24"/>
              </w:rPr>
            </w:pPr>
            <w:r>
              <w:rPr>
                <w:rFonts w:hint="eastAsia" w:ascii="宋体" w:hAnsi="宋体" w:eastAsia="宋体" w:cs="宋体"/>
                <w:sz w:val="24"/>
                <w:szCs w:val="24"/>
              </w:rPr>
              <w:t>李云春，本科课堂教学质量奖二等奖，2016年；</w:t>
            </w:r>
          </w:p>
          <w:p>
            <w:pPr>
              <w:spacing w:line="480" w:lineRule="auto"/>
              <w:rPr>
                <w:rFonts w:hint="eastAsia" w:ascii="宋体" w:hAnsi="宋体" w:eastAsia="宋体" w:cs="宋体"/>
                <w:sz w:val="24"/>
                <w:szCs w:val="24"/>
              </w:rPr>
            </w:pPr>
            <w:r>
              <w:rPr>
                <w:rFonts w:hint="eastAsia" w:ascii="宋体" w:hAnsi="宋体" w:eastAsia="宋体" w:cs="宋体"/>
                <w:sz w:val="24"/>
                <w:szCs w:val="24"/>
              </w:rPr>
              <w:t>代先祥，本科课堂教学质量奖二等奖，2015年；</w:t>
            </w:r>
          </w:p>
          <w:p>
            <w:pPr>
              <w:spacing w:line="480" w:lineRule="auto"/>
              <w:rPr>
                <w:rFonts w:hint="eastAsia" w:ascii="宋体" w:hAnsi="宋体" w:eastAsia="宋体" w:cs="宋体"/>
                <w:sz w:val="24"/>
                <w:szCs w:val="24"/>
              </w:rPr>
            </w:pPr>
            <w:r>
              <w:rPr>
                <w:rFonts w:hint="eastAsia" w:ascii="宋体" w:hAnsi="宋体" w:eastAsia="宋体" w:cs="宋体"/>
                <w:sz w:val="24"/>
                <w:szCs w:val="24"/>
              </w:rPr>
              <w:t>代先祥，2011-2012学年度毕业生就业工作先进工作者，2012年；</w:t>
            </w:r>
          </w:p>
          <w:p>
            <w:pPr>
              <w:spacing w:line="480" w:lineRule="auto"/>
              <w:rPr>
                <w:rFonts w:hint="eastAsia" w:ascii="宋体" w:hAnsi="宋体" w:eastAsia="宋体" w:cs="宋体"/>
                <w:sz w:val="24"/>
                <w:szCs w:val="24"/>
              </w:rPr>
            </w:pPr>
            <w:r>
              <w:rPr>
                <w:rFonts w:hint="eastAsia" w:ascii="宋体" w:hAnsi="宋体" w:eastAsia="宋体" w:cs="宋体"/>
                <w:sz w:val="24"/>
                <w:szCs w:val="24"/>
              </w:rPr>
              <w:t>代先祥，2009-2010学年度优秀班主任，2010年；</w:t>
            </w:r>
          </w:p>
          <w:p>
            <w:pPr>
              <w:spacing w:line="480" w:lineRule="auto"/>
              <w:rPr>
                <w:rFonts w:hint="eastAsia" w:ascii="宋体" w:hAnsi="宋体" w:eastAsia="宋体" w:cs="宋体"/>
                <w:sz w:val="24"/>
                <w:szCs w:val="24"/>
              </w:rPr>
            </w:pPr>
            <w:r>
              <w:rPr>
                <w:rFonts w:hint="eastAsia" w:ascii="宋体" w:hAnsi="宋体" w:eastAsia="宋体" w:cs="宋体"/>
                <w:sz w:val="24"/>
                <w:szCs w:val="24"/>
              </w:rPr>
              <w:t>赵茂俊，四川农业大学“本科教学评建工作先进个人”奖，2006年。</w:t>
            </w:r>
          </w:p>
          <w:p>
            <w:pPr>
              <w:spacing w:line="480" w:lineRule="auto"/>
              <w:ind w:firstLine="480" w:firstLineChars="200"/>
              <w:rPr>
                <w:rFonts w:hint="eastAsia" w:ascii="宋体" w:hAnsi="宋体" w:eastAsia="宋体" w:cs="宋体"/>
                <w:sz w:val="24"/>
                <w:szCs w:val="24"/>
              </w:rPr>
            </w:pPr>
          </w:p>
          <w:p>
            <w:pPr>
              <w:spacing w:line="480" w:lineRule="auto"/>
              <w:ind w:firstLine="480" w:firstLineChars="200"/>
              <w:rPr>
                <w:rFonts w:hint="eastAsia" w:ascii="宋体" w:hAnsi="宋体" w:eastAsia="宋体" w:cs="宋体"/>
                <w:sz w:val="24"/>
                <w:szCs w:val="24"/>
              </w:rPr>
            </w:pPr>
          </w:p>
        </w:tc>
      </w:tr>
    </w:tbl>
    <w:p>
      <w:pPr>
        <w:spacing w:line="480" w:lineRule="auto"/>
        <w:rPr>
          <w:rFonts w:hint="eastAsia" w:ascii="宋体" w:hAnsi="宋体" w:eastAsia="宋体" w:cs="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86"/>
    <w:family w:val="script"/>
    <w:pitch w:val="default"/>
    <w:sig w:usb0="00000000" w:usb1="00000000"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4YzExMWQ4Mjc1ZTNlZjAxZjAxYWZiYmNmYjEzNTIifQ=="/>
  </w:docVars>
  <w:rsids>
    <w:rsidRoot w:val="09D56961"/>
    <w:rsid w:val="000261AA"/>
    <w:rsid w:val="00055116"/>
    <w:rsid w:val="00067406"/>
    <w:rsid w:val="000B6512"/>
    <w:rsid w:val="000D0FC1"/>
    <w:rsid w:val="000F1B73"/>
    <w:rsid w:val="00105AE2"/>
    <w:rsid w:val="00116312"/>
    <w:rsid w:val="00182EEE"/>
    <w:rsid w:val="001A61B2"/>
    <w:rsid w:val="00203314"/>
    <w:rsid w:val="002106DB"/>
    <w:rsid w:val="002275E6"/>
    <w:rsid w:val="00232634"/>
    <w:rsid w:val="0029123D"/>
    <w:rsid w:val="002A3BAF"/>
    <w:rsid w:val="002B0119"/>
    <w:rsid w:val="002C33DB"/>
    <w:rsid w:val="002C5F5D"/>
    <w:rsid w:val="002D63B5"/>
    <w:rsid w:val="002D78DA"/>
    <w:rsid w:val="00302D05"/>
    <w:rsid w:val="003049D7"/>
    <w:rsid w:val="00316793"/>
    <w:rsid w:val="00317079"/>
    <w:rsid w:val="00335A16"/>
    <w:rsid w:val="003538DB"/>
    <w:rsid w:val="003571FA"/>
    <w:rsid w:val="003748BC"/>
    <w:rsid w:val="0037768C"/>
    <w:rsid w:val="003B11AB"/>
    <w:rsid w:val="003C0D38"/>
    <w:rsid w:val="00404D7E"/>
    <w:rsid w:val="00412EC6"/>
    <w:rsid w:val="00422FCE"/>
    <w:rsid w:val="00456C92"/>
    <w:rsid w:val="00471126"/>
    <w:rsid w:val="00493F6D"/>
    <w:rsid w:val="004F7C2E"/>
    <w:rsid w:val="00506F7E"/>
    <w:rsid w:val="0053218D"/>
    <w:rsid w:val="00533B87"/>
    <w:rsid w:val="00542544"/>
    <w:rsid w:val="005814B0"/>
    <w:rsid w:val="00590DF0"/>
    <w:rsid w:val="00593911"/>
    <w:rsid w:val="005A02EF"/>
    <w:rsid w:val="005C1C9C"/>
    <w:rsid w:val="006104CB"/>
    <w:rsid w:val="00614313"/>
    <w:rsid w:val="0066126F"/>
    <w:rsid w:val="00662801"/>
    <w:rsid w:val="00675CDA"/>
    <w:rsid w:val="0068518B"/>
    <w:rsid w:val="00691542"/>
    <w:rsid w:val="00710AE1"/>
    <w:rsid w:val="00717E78"/>
    <w:rsid w:val="007324FF"/>
    <w:rsid w:val="0076323C"/>
    <w:rsid w:val="007B13CE"/>
    <w:rsid w:val="007C012A"/>
    <w:rsid w:val="007C0687"/>
    <w:rsid w:val="007D06B8"/>
    <w:rsid w:val="007D14CA"/>
    <w:rsid w:val="007E514C"/>
    <w:rsid w:val="0082416A"/>
    <w:rsid w:val="0084059A"/>
    <w:rsid w:val="00840883"/>
    <w:rsid w:val="008807C3"/>
    <w:rsid w:val="008A5263"/>
    <w:rsid w:val="008A562B"/>
    <w:rsid w:val="008B4866"/>
    <w:rsid w:val="008D05D6"/>
    <w:rsid w:val="00910C70"/>
    <w:rsid w:val="009135D6"/>
    <w:rsid w:val="0092051B"/>
    <w:rsid w:val="0094664F"/>
    <w:rsid w:val="00950C2A"/>
    <w:rsid w:val="00980958"/>
    <w:rsid w:val="00981170"/>
    <w:rsid w:val="009A17DD"/>
    <w:rsid w:val="009C0EF1"/>
    <w:rsid w:val="009C1F1B"/>
    <w:rsid w:val="009C5785"/>
    <w:rsid w:val="009D7DB3"/>
    <w:rsid w:val="009E4A27"/>
    <w:rsid w:val="00A0677C"/>
    <w:rsid w:val="00A11910"/>
    <w:rsid w:val="00A11AAA"/>
    <w:rsid w:val="00AC3ED6"/>
    <w:rsid w:val="00AC6EAC"/>
    <w:rsid w:val="00AF6755"/>
    <w:rsid w:val="00B04B9B"/>
    <w:rsid w:val="00B223EC"/>
    <w:rsid w:val="00B27AA3"/>
    <w:rsid w:val="00B42B08"/>
    <w:rsid w:val="00B6727A"/>
    <w:rsid w:val="00B90EC5"/>
    <w:rsid w:val="00BB3F30"/>
    <w:rsid w:val="00BC0919"/>
    <w:rsid w:val="00BE2430"/>
    <w:rsid w:val="00C146BC"/>
    <w:rsid w:val="00C15FC0"/>
    <w:rsid w:val="00C3295A"/>
    <w:rsid w:val="00C76B5B"/>
    <w:rsid w:val="00C8660B"/>
    <w:rsid w:val="00CA52FB"/>
    <w:rsid w:val="00CA65FD"/>
    <w:rsid w:val="00D20174"/>
    <w:rsid w:val="00D566AE"/>
    <w:rsid w:val="00D70F5C"/>
    <w:rsid w:val="00D76931"/>
    <w:rsid w:val="00D81DC8"/>
    <w:rsid w:val="00D93AD1"/>
    <w:rsid w:val="00DC1546"/>
    <w:rsid w:val="00DD01C4"/>
    <w:rsid w:val="00DF5ACE"/>
    <w:rsid w:val="00E07514"/>
    <w:rsid w:val="00E15C03"/>
    <w:rsid w:val="00E254E3"/>
    <w:rsid w:val="00E4002B"/>
    <w:rsid w:val="00E45382"/>
    <w:rsid w:val="00E5077F"/>
    <w:rsid w:val="00E65048"/>
    <w:rsid w:val="00E71E27"/>
    <w:rsid w:val="00E80EB9"/>
    <w:rsid w:val="00E85DEF"/>
    <w:rsid w:val="00E9253C"/>
    <w:rsid w:val="00F06DDD"/>
    <w:rsid w:val="00F137E9"/>
    <w:rsid w:val="00F26A12"/>
    <w:rsid w:val="00F32DF8"/>
    <w:rsid w:val="00F33C2A"/>
    <w:rsid w:val="00F652CA"/>
    <w:rsid w:val="00FD6FAD"/>
    <w:rsid w:val="00FF14D7"/>
    <w:rsid w:val="00FF1A80"/>
    <w:rsid w:val="00FF4EBF"/>
    <w:rsid w:val="09D56961"/>
    <w:rsid w:val="2CEC728F"/>
    <w:rsid w:val="3A9332FD"/>
    <w:rsid w:val="4A841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style01"/>
    <w:uiPriority w:val="0"/>
    <w:rPr>
      <w:rFonts w:hint="eastAsia" w:ascii="宋体" w:hAnsi="宋体" w:eastAsia="宋体"/>
      <w:color w:val="000000"/>
      <w:sz w:val="22"/>
      <w:szCs w:val="22"/>
    </w:rPr>
  </w:style>
  <w:style w:type="character" w:customStyle="1" w:styleId="9">
    <w:name w:val="页眉 字符"/>
    <w:link w:val="3"/>
    <w:uiPriority w:val="0"/>
    <w:rPr>
      <w:rFonts w:ascii="Calibri" w:hAnsi="Calibri"/>
      <w:kern w:val="2"/>
      <w:sz w:val="18"/>
      <w:szCs w:val="18"/>
    </w:rPr>
  </w:style>
  <w:style w:type="character" w:customStyle="1" w:styleId="10">
    <w:name w:val="页脚 字符"/>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3460</Words>
  <Characters>3722</Characters>
  <Lines>4</Lines>
  <Paragraphs>7</Paragraphs>
  <TotalTime>51</TotalTime>
  <ScaleCrop>false</ScaleCrop>
  <LinksUpToDate>false</LinksUpToDate>
  <CharactersWithSpaces>3744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2022-11-08T00:37:00Z</dcterms:created>
  <dc:creator>Administrator</dc:creator>
  <cp:lastModifiedBy>清风晓月</cp:lastModifiedBy>
  <dcterms:modified xsi:type="dcterms:W3CDTF">2022-11-09T01:26:12Z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086C951A668345DBA9EFEE0816937C58</vt:lpwstr>
  </property>
</Properties>
</file>